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0F" w:rsidRPr="00516053" w:rsidRDefault="00BE752F" w:rsidP="00516053">
      <w:pPr>
        <w:jc w:val="center"/>
        <w:rPr>
          <w:rFonts w:ascii="Times New Roman" w:hAnsi="Times New Roman" w:cs="Times New Roman"/>
          <w:sz w:val="28"/>
          <w:szCs w:val="28"/>
          <w:lang w:val="tt-RU"/>
        </w:rPr>
      </w:pPr>
      <w:proofErr w:type="spellStart"/>
      <w:r w:rsidRPr="00516053">
        <w:rPr>
          <w:rFonts w:ascii="Times New Roman" w:hAnsi="Times New Roman" w:cs="Times New Roman"/>
          <w:sz w:val="28"/>
          <w:szCs w:val="28"/>
        </w:rPr>
        <w:t>Китап</w:t>
      </w:r>
      <w:proofErr w:type="spellEnd"/>
      <w:r w:rsidRPr="00516053">
        <w:rPr>
          <w:rFonts w:ascii="Times New Roman" w:hAnsi="Times New Roman" w:cs="Times New Roman"/>
          <w:sz w:val="28"/>
          <w:szCs w:val="28"/>
        </w:rPr>
        <w:t xml:space="preserve"> </w:t>
      </w:r>
      <w:proofErr w:type="spellStart"/>
      <w:r w:rsidRPr="00516053">
        <w:rPr>
          <w:rFonts w:ascii="Times New Roman" w:hAnsi="Times New Roman" w:cs="Times New Roman"/>
          <w:sz w:val="28"/>
          <w:szCs w:val="28"/>
        </w:rPr>
        <w:t>алып</w:t>
      </w:r>
      <w:proofErr w:type="spellEnd"/>
      <w:r w:rsidRPr="00516053">
        <w:rPr>
          <w:rFonts w:ascii="Times New Roman" w:hAnsi="Times New Roman" w:cs="Times New Roman"/>
          <w:sz w:val="28"/>
          <w:szCs w:val="28"/>
        </w:rPr>
        <w:t xml:space="preserve"> </w:t>
      </w:r>
      <w:proofErr w:type="spellStart"/>
      <w:r w:rsidRPr="00516053">
        <w:rPr>
          <w:rFonts w:ascii="Times New Roman" w:hAnsi="Times New Roman" w:cs="Times New Roman"/>
          <w:sz w:val="28"/>
          <w:szCs w:val="28"/>
        </w:rPr>
        <w:t>кулга</w:t>
      </w:r>
      <w:proofErr w:type="spellEnd"/>
      <w:r w:rsidRPr="00516053">
        <w:rPr>
          <w:rFonts w:ascii="Times New Roman" w:hAnsi="Times New Roman" w:cs="Times New Roman"/>
          <w:sz w:val="28"/>
          <w:szCs w:val="28"/>
        </w:rPr>
        <w:t>…</w:t>
      </w:r>
      <w:r w:rsidRPr="00516053">
        <w:rPr>
          <w:rFonts w:ascii="Times New Roman" w:hAnsi="Times New Roman" w:cs="Times New Roman"/>
          <w:sz w:val="28"/>
          <w:szCs w:val="28"/>
          <w:lang w:val="tt-RU"/>
        </w:rPr>
        <w:t>җәйге ялга!</w:t>
      </w:r>
    </w:p>
    <w:p w:rsidR="00EE3628" w:rsidRPr="00516053" w:rsidRDefault="00BE752F" w:rsidP="00516053">
      <w:pPr>
        <w:jc w:val="both"/>
        <w:rPr>
          <w:rFonts w:ascii="Times New Roman" w:hAnsi="Times New Roman" w:cs="Times New Roman"/>
          <w:sz w:val="28"/>
          <w:szCs w:val="28"/>
          <w:lang w:val="tt-RU"/>
        </w:rPr>
      </w:pPr>
      <w:r w:rsidRPr="00516053">
        <w:rPr>
          <w:rFonts w:ascii="Times New Roman" w:hAnsi="Times New Roman" w:cs="Times New Roman"/>
          <w:sz w:val="28"/>
          <w:szCs w:val="28"/>
          <w:lang w:val="tt-RU"/>
        </w:rPr>
        <w:t>Менә көтеп алынган җәйдә җитте.</w:t>
      </w:r>
      <w:r w:rsidR="00516053">
        <w:rPr>
          <w:rFonts w:ascii="Times New Roman" w:hAnsi="Times New Roman" w:cs="Times New Roman"/>
          <w:sz w:val="28"/>
          <w:szCs w:val="28"/>
          <w:lang w:val="tt-RU"/>
        </w:rPr>
        <w:t xml:space="preserve"> </w:t>
      </w:r>
      <w:r w:rsidR="0021669B" w:rsidRPr="00516053">
        <w:rPr>
          <w:rFonts w:ascii="Times New Roman" w:hAnsi="Times New Roman" w:cs="Times New Roman"/>
          <w:sz w:val="28"/>
          <w:szCs w:val="28"/>
          <w:lang w:val="tt-RU"/>
        </w:rPr>
        <w:t>Мәктәп у</w:t>
      </w:r>
      <w:r w:rsidRPr="00516053">
        <w:rPr>
          <w:rFonts w:ascii="Times New Roman" w:hAnsi="Times New Roman" w:cs="Times New Roman"/>
          <w:sz w:val="28"/>
          <w:szCs w:val="28"/>
          <w:lang w:val="tt-RU"/>
        </w:rPr>
        <w:t>кучылар</w:t>
      </w:r>
      <w:r w:rsidR="0021669B" w:rsidRPr="00516053">
        <w:rPr>
          <w:rFonts w:ascii="Times New Roman" w:hAnsi="Times New Roman" w:cs="Times New Roman"/>
          <w:sz w:val="28"/>
          <w:szCs w:val="28"/>
          <w:lang w:val="tt-RU"/>
        </w:rPr>
        <w:t xml:space="preserve">ы, студентлар </w:t>
      </w:r>
      <w:r w:rsidRPr="00516053">
        <w:rPr>
          <w:rFonts w:ascii="Times New Roman" w:hAnsi="Times New Roman" w:cs="Times New Roman"/>
          <w:sz w:val="28"/>
          <w:szCs w:val="28"/>
          <w:lang w:val="tt-RU"/>
        </w:rPr>
        <w:t xml:space="preserve">каникулга, әти-әниләр күбесе көтеп алган ялга чыкты. Ә ял көннәрен китаптан башка күз алдына дә китереп булмый. Ә инде нинди китап уку һәркемнең үз иркендә. Үзәк китапханәнең татар һәм әдәбият бүлеге һәркемнең күңеленә хуш килерлек китаплар белән  тулыланып тора. Шушы көннәрдә генә дә Татарстан китап нәшриятыннан 315 экземпляр китап алдык. </w:t>
      </w:r>
      <w:r w:rsidR="0035014E" w:rsidRPr="00516053">
        <w:rPr>
          <w:rFonts w:ascii="Times New Roman" w:hAnsi="Times New Roman" w:cs="Times New Roman"/>
          <w:sz w:val="28"/>
          <w:szCs w:val="28"/>
          <w:lang w:val="tt-RU"/>
        </w:rPr>
        <w:t>Китапханәдә “Китап алып кулга ...җәйге ялга” дип аталган яңа китаплар күргәзмәсе ачылды.Әлеге күргәзмәдә Габдулла Тукайга багышла</w:t>
      </w:r>
      <w:r w:rsidR="00EE3628" w:rsidRPr="00516053">
        <w:rPr>
          <w:rFonts w:ascii="Times New Roman" w:hAnsi="Times New Roman" w:cs="Times New Roman"/>
          <w:sz w:val="28"/>
          <w:szCs w:val="28"/>
          <w:lang w:val="tt-RU"/>
        </w:rPr>
        <w:t>нган китапларда бар</w:t>
      </w:r>
    </w:p>
    <w:p w:rsidR="00BE752F" w:rsidRPr="00516053" w:rsidRDefault="00EE3628" w:rsidP="00516053">
      <w:pPr>
        <w:jc w:val="both"/>
        <w:rPr>
          <w:rFonts w:ascii="Times New Roman" w:hAnsi="Times New Roman" w:cs="Times New Roman"/>
          <w:sz w:val="28"/>
          <w:szCs w:val="28"/>
          <w:lang w:val="tt-RU"/>
        </w:rPr>
      </w:pPr>
      <w:r w:rsidRPr="00516053">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14A1347" wp14:editId="31D24FA7">
            <wp:simplePos x="0" y="0"/>
            <wp:positionH relativeFrom="column">
              <wp:posOffset>-106045</wp:posOffset>
            </wp:positionH>
            <wp:positionV relativeFrom="paragraph">
              <wp:posOffset>67945</wp:posOffset>
            </wp:positionV>
            <wp:extent cx="2202815" cy="2226945"/>
            <wp:effectExtent l="0" t="0" r="6985" b="1905"/>
            <wp:wrapTight wrapText="bothSides">
              <wp:wrapPolygon edited="0">
                <wp:start x="0" y="0"/>
                <wp:lineTo x="0" y="21434"/>
                <wp:lineTo x="21482" y="21434"/>
                <wp:lineTo x="21482" y="0"/>
                <wp:lineTo x="0" y="0"/>
              </wp:wrapPolygon>
            </wp:wrapTight>
            <wp:docPr id="1" name="Рисунок 1" descr="C:\Users\2015\Desktop\19.06\DSC04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5\Desktop\19.06\DSC04269.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943" t="4018" r="1401"/>
                    <a:stretch/>
                  </pic:blipFill>
                  <pic:spPr bwMode="auto">
                    <a:xfrm>
                      <a:off x="0" y="0"/>
                      <a:ext cx="2202815" cy="2226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752F" w:rsidRPr="00516053">
        <w:rPr>
          <w:rFonts w:ascii="Times New Roman" w:hAnsi="Times New Roman" w:cs="Times New Roman"/>
          <w:sz w:val="28"/>
          <w:szCs w:val="28"/>
          <w:lang w:val="tt-RU"/>
        </w:rPr>
        <w:t xml:space="preserve">“Тукайча татар кодексы”  -татар, рус, инглиз телләрендә язылган үзенчәлекле хезмәт. Әлеге китапның үзенчәлеге шунда: ул яңадан-яңа буыннарны </w:t>
      </w:r>
      <w:r w:rsidR="00266086" w:rsidRPr="00516053">
        <w:rPr>
          <w:rFonts w:ascii="Times New Roman" w:hAnsi="Times New Roman" w:cs="Times New Roman"/>
          <w:sz w:val="28"/>
          <w:szCs w:val="28"/>
          <w:lang w:val="tt-RU"/>
        </w:rPr>
        <w:t xml:space="preserve"> </w:t>
      </w:r>
      <w:r w:rsidR="00BE752F" w:rsidRPr="00516053">
        <w:rPr>
          <w:rFonts w:ascii="Times New Roman" w:hAnsi="Times New Roman" w:cs="Times New Roman"/>
          <w:sz w:val="28"/>
          <w:szCs w:val="28"/>
          <w:lang w:val="tt-RU"/>
        </w:rPr>
        <w:t xml:space="preserve">чын ватанчылык рухында тәрбияли алырлык киңәш-кагыйдәләрен туплаган яшәеш дәреслегенә тиң, һәм аны </w:t>
      </w:r>
      <w:r w:rsidR="00266086" w:rsidRPr="00516053">
        <w:rPr>
          <w:rFonts w:ascii="Times New Roman" w:hAnsi="Times New Roman" w:cs="Times New Roman"/>
          <w:sz w:val="28"/>
          <w:szCs w:val="28"/>
          <w:lang w:val="tt-RU"/>
        </w:rPr>
        <w:t xml:space="preserve">еллар аша килеп ирешкән васыят  рәвешендә дә кабул итәргә мөмкин.Моңарчы күрелмәгән мондый кодекс башка халык вәкилләре өчен дә гыйбрәтле булырлык хезмәт. </w:t>
      </w:r>
    </w:p>
    <w:p w:rsidR="00266086" w:rsidRPr="00516053" w:rsidRDefault="00266086" w:rsidP="00516053">
      <w:pPr>
        <w:jc w:val="both"/>
        <w:rPr>
          <w:rFonts w:ascii="Times New Roman" w:hAnsi="Times New Roman" w:cs="Times New Roman"/>
          <w:sz w:val="28"/>
          <w:szCs w:val="28"/>
          <w:lang w:val="tt-RU"/>
        </w:rPr>
      </w:pPr>
      <w:r w:rsidRPr="00516053">
        <w:rPr>
          <w:rFonts w:ascii="Times New Roman" w:hAnsi="Times New Roman" w:cs="Times New Roman"/>
          <w:sz w:val="28"/>
          <w:szCs w:val="28"/>
          <w:lang w:val="tt-RU"/>
        </w:rPr>
        <w:t xml:space="preserve">“Габдулла Тукайның канатлы әйтелмәләре” – җыентыгында бөек шагыйребез иҗатында очрый торган канатлы әйтелмәләр, сурәтле сүз –тәгъбирләр тикшерелә; аларның килеп чыгу тарихы яктыртыла, мәгънәләре ачыла. </w:t>
      </w:r>
    </w:p>
    <w:p w:rsidR="00266086" w:rsidRPr="00516053" w:rsidRDefault="00266086" w:rsidP="00516053">
      <w:pPr>
        <w:jc w:val="both"/>
        <w:rPr>
          <w:rFonts w:ascii="Times New Roman" w:hAnsi="Times New Roman" w:cs="Times New Roman"/>
          <w:sz w:val="28"/>
          <w:szCs w:val="28"/>
          <w:lang w:val="tt-RU"/>
        </w:rPr>
      </w:pPr>
      <w:r w:rsidRPr="00516053">
        <w:rPr>
          <w:rFonts w:ascii="Times New Roman" w:hAnsi="Times New Roman" w:cs="Times New Roman"/>
          <w:sz w:val="28"/>
          <w:szCs w:val="28"/>
          <w:lang w:val="tt-RU"/>
        </w:rPr>
        <w:t>Г.Тукай иҗатына</w:t>
      </w:r>
      <w:r w:rsidR="0021669B" w:rsidRPr="00516053">
        <w:rPr>
          <w:rFonts w:ascii="Times New Roman" w:hAnsi="Times New Roman" w:cs="Times New Roman"/>
          <w:sz w:val="28"/>
          <w:szCs w:val="28"/>
          <w:lang w:val="tt-RU"/>
        </w:rPr>
        <w:t xml:space="preserve"> килгәндә  тагын ике яңа китап турында  әйтеп үтәсем килә:</w:t>
      </w:r>
      <w:r w:rsidRPr="00516053">
        <w:rPr>
          <w:rFonts w:ascii="Times New Roman" w:hAnsi="Times New Roman" w:cs="Times New Roman"/>
          <w:sz w:val="28"/>
          <w:szCs w:val="28"/>
          <w:lang w:val="tt-RU"/>
        </w:rPr>
        <w:t xml:space="preserve">Р.Ф. Исламовның “Тукайны өйрәнүдә яңа чыганаклар” һәм Аминева В.Р.  “Габдулла Тукай и русская литература XIX в.: типологические параллели”. </w:t>
      </w:r>
    </w:p>
    <w:p w:rsidR="00EE3628" w:rsidRPr="00516053" w:rsidRDefault="00EE3628" w:rsidP="00516053">
      <w:pPr>
        <w:jc w:val="both"/>
        <w:rPr>
          <w:rFonts w:ascii="Times New Roman" w:hAnsi="Times New Roman" w:cs="Times New Roman"/>
          <w:sz w:val="28"/>
          <w:szCs w:val="28"/>
          <w:lang w:val="tt-RU"/>
        </w:rPr>
      </w:pPr>
      <w:r w:rsidRPr="00516053">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6C4690BB" wp14:editId="6A2B58AE">
            <wp:simplePos x="0" y="0"/>
            <wp:positionH relativeFrom="column">
              <wp:posOffset>-106680</wp:posOffset>
            </wp:positionH>
            <wp:positionV relativeFrom="paragraph">
              <wp:posOffset>410210</wp:posOffset>
            </wp:positionV>
            <wp:extent cx="2146300" cy="2115185"/>
            <wp:effectExtent l="0" t="0" r="6350" b="0"/>
            <wp:wrapTight wrapText="bothSides">
              <wp:wrapPolygon edited="0">
                <wp:start x="0" y="0"/>
                <wp:lineTo x="0" y="21399"/>
                <wp:lineTo x="21472" y="21399"/>
                <wp:lineTo x="21472" y="0"/>
                <wp:lineTo x="0" y="0"/>
              </wp:wrapPolygon>
            </wp:wrapTight>
            <wp:docPr id="2" name="Рисунок 2" descr="C:\Users\2015\Desktop\19.06\DSC04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5\Desktop\19.06\DSC0427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236" r="20549"/>
                    <a:stretch/>
                  </pic:blipFill>
                  <pic:spPr bwMode="auto">
                    <a:xfrm>
                      <a:off x="0" y="0"/>
                      <a:ext cx="2146300" cy="2115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014E" w:rsidRPr="00516053">
        <w:rPr>
          <w:rFonts w:ascii="Times New Roman" w:hAnsi="Times New Roman" w:cs="Times New Roman"/>
          <w:sz w:val="28"/>
          <w:szCs w:val="28"/>
          <w:lang w:val="tt-RU"/>
        </w:rPr>
        <w:t>Габдулла Тукайның шигырьләрен рус телендә укырга теләгән укучыларга “Последняя капл</w:t>
      </w:r>
      <w:r w:rsidRPr="00516053">
        <w:rPr>
          <w:rFonts w:ascii="Times New Roman" w:hAnsi="Times New Roman" w:cs="Times New Roman"/>
          <w:sz w:val="28"/>
          <w:szCs w:val="28"/>
          <w:lang w:val="tt-RU"/>
        </w:rPr>
        <w:t>я слезы” китабын тәкъдим итәбез</w:t>
      </w:r>
    </w:p>
    <w:p w:rsidR="00EE3628" w:rsidRPr="00516053" w:rsidRDefault="00EE3628" w:rsidP="00516053">
      <w:pPr>
        <w:jc w:val="both"/>
        <w:rPr>
          <w:rFonts w:ascii="Times New Roman" w:hAnsi="Times New Roman" w:cs="Times New Roman"/>
          <w:sz w:val="28"/>
          <w:szCs w:val="28"/>
          <w:lang w:val="tt-RU"/>
        </w:rPr>
      </w:pPr>
    </w:p>
    <w:p w:rsidR="00516053" w:rsidRDefault="00ED3B99" w:rsidP="00516053">
      <w:pPr>
        <w:jc w:val="both"/>
        <w:rPr>
          <w:rFonts w:ascii="Times New Roman" w:hAnsi="Times New Roman" w:cs="Times New Roman"/>
          <w:sz w:val="28"/>
          <w:szCs w:val="28"/>
          <w:lang w:val="tt-RU"/>
        </w:rPr>
      </w:pPr>
      <w:r w:rsidRPr="00516053">
        <w:rPr>
          <w:rFonts w:ascii="Times New Roman" w:hAnsi="Times New Roman" w:cs="Times New Roman"/>
          <w:sz w:val="28"/>
          <w:szCs w:val="28"/>
          <w:lang w:val="tt-RU"/>
        </w:rPr>
        <w:t xml:space="preserve"> Соңгы елларда Болгарга зур игътибар күрсәтелә</w:t>
      </w:r>
      <w:r w:rsidR="0021669B" w:rsidRPr="00516053">
        <w:rPr>
          <w:rFonts w:ascii="Times New Roman" w:hAnsi="Times New Roman" w:cs="Times New Roman"/>
          <w:sz w:val="28"/>
          <w:szCs w:val="28"/>
          <w:lang w:val="tt-RU"/>
        </w:rPr>
        <w:t>.</w:t>
      </w:r>
      <w:r w:rsidRPr="00516053">
        <w:rPr>
          <w:rFonts w:ascii="Times New Roman" w:hAnsi="Times New Roman" w:cs="Times New Roman"/>
          <w:sz w:val="28"/>
          <w:szCs w:val="28"/>
          <w:lang w:val="tt-RU"/>
        </w:rPr>
        <w:t xml:space="preserve"> Болгар цивилизациясе, Коръән музейлары , “Болгарда Урта гасыр һунәрчелеге” интерактив музей комплексы, борынгы Болгарның изге урыннарын күререгә теләүчеләр өчен ачылган лагерь, Икмәк музее, “Ак мәчет” комплеслары турынд</w:t>
      </w:r>
      <w:r w:rsidR="0021669B" w:rsidRPr="00516053">
        <w:rPr>
          <w:rFonts w:ascii="Times New Roman" w:hAnsi="Times New Roman" w:cs="Times New Roman"/>
          <w:sz w:val="28"/>
          <w:szCs w:val="28"/>
          <w:lang w:val="tt-RU"/>
        </w:rPr>
        <w:t xml:space="preserve">а </w:t>
      </w:r>
      <w:r w:rsidRPr="00516053">
        <w:rPr>
          <w:rFonts w:ascii="Times New Roman" w:hAnsi="Times New Roman" w:cs="Times New Roman"/>
          <w:sz w:val="28"/>
          <w:szCs w:val="28"/>
          <w:lang w:val="tt-RU"/>
        </w:rPr>
        <w:t xml:space="preserve"> өч телдә нәшер ителгән “Изге Болгар” китабы</w:t>
      </w:r>
      <w:r w:rsidR="0021669B" w:rsidRPr="00516053">
        <w:rPr>
          <w:rFonts w:ascii="Times New Roman" w:hAnsi="Times New Roman" w:cs="Times New Roman"/>
          <w:sz w:val="28"/>
          <w:szCs w:val="28"/>
          <w:lang w:val="tt-RU"/>
        </w:rPr>
        <w:t xml:space="preserve">н туристларга </w:t>
      </w:r>
      <w:r w:rsidRPr="00516053">
        <w:rPr>
          <w:rFonts w:ascii="Times New Roman" w:hAnsi="Times New Roman" w:cs="Times New Roman"/>
          <w:sz w:val="28"/>
          <w:szCs w:val="28"/>
          <w:lang w:val="tt-RU"/>
        </w:rPr>
        <w:t xml:space="preserve"> </w:t>
      </w:r>
      <w:r w:rsidR="00516053">
        <w:rPr>
          <w:rFonts w:ascii="Times New Roman" w:hAnsi="Times New Roman" w:cs="Times New Roman"/>
          <w:sz w:val="28"/>
          <w:szCs w:val="28"/>
          <w:lang w:val="tt-RU"/>
        </w:rPr>
        <w:t>, дин тотучыларга</w:t>
      </w:r>
      <w:r w:rsidR="0021669B" w:rsidRPr="00516053">
        <w:rPr>
          <w:rFonts w:ascii="Times New Roman" w:hAnsi="Times New Roman" w:cs="Times New Roman"/>
          <w:sz w:val="28"/>
          <w:szCs w:val="28"/>
          <w:lang w:val="tt-RU"/>
        </w:rPr>
        <w:t>, гомумән Болгар тарихы белән тирән кызыксынучыларга тәкъдим итәр идем</w:t>
      </w:r>
      <w:r w:rsidRPr="00516053">
        <w:rPr>
          <w:rFonts w:ascii="Times New Roman" w:hAnsi="Times New Roman" w:cs="Times New Roman"/>
          <w:sz w:val="28"/>
          <w:szCs w:val="28"/>
          <w:lang w:val="tt-RU"/>
        </w:rPr>
        <w:t xml:space="preserve">. Болгар күренешләре белән беатылган әлеге китап чын мәгънәсендә бүләк. </w:t>
      </w:r>
    </w:p>
    <w:p w:rsidR="00BE765A" w:rsidRPr="00516053" w:rsidRDefault="00BE765A" w:rsidP="00516053">
      <w:pPr>
        <w:jc w:val="both"/>
        <w:rPr>
          <w:rFonts w:ascii="Times New Roman" w:hAnsi="Times New Roman" w:cs="Times New Roman"/>
          <w:sz w:val="28"/>
          <w:szCs w:val="28"/>
          <w:lang w:val="tt-RU"/>
        </w:rPr>
      </w:pPr>
      <w:r w:rsidRPr="00516053">
        <w:rPr>
          <w:rFonts w:ascii="Times New Roman" w:hAnsi="Times New Roman" w:cs="Times New Roman"/>
          <w:sz w:val="28"/>
          <w:szCs w:val="28"/>
          <w:lang w:val="tt-RU"/>
        </w:rPr>
        <w:t xml:space="preserve">Татарстанның халык шагыйре, Татарстан Фәннәр академиясенең шәрәфле академигы Равил Фәйзуллинның “Татарстан Язучылар берлеге” дип аталган китабы дөнья күрде. </w:t>
      </w:r>
      <w:r w:rsidRPr="00516053">
        <w:rPr>
          <w:rFonts w:ascii="Times New Roman" w:hAnsi="Times New Roman" w:cs="Times New Roman"/>
          <w:sz w:val="28"/>
          <w:szCs w:val="28"/>
          <w:lang w:val="tt-RU"/>
        </w:rPr>
        <w:lastRenderedPageBreak/>
        <w:t xml:space="preserve">Әлеге китап – Татарстан Язучылар оешмасы узган гыйбрәтле тарихи юлны озак еллар буе җентекләп өйрәнү һәм эзләнүләр нәтиҗәсендә туган зур җитди хезмәт. Язучылар берлеге  эшчәнлегенә бәйле рәвештә автор татар әдәбиятына гомумкүзәтү ясый; әдәби  хәрәкәтнең аерым чорларына, үсеш-яңарыш тенденцияләренә, кайбер күренекле әдипләр һәм аларның иҗатларына мөнәсәбәтен белдереп, XX-XXI гасыр башы татар әдәбиятының тулы бер панорамасын тудыра. Китап сирәк очрый торган күп санлы фото-документлар белән дә тулыландырылган. </w:t>
      </w:r>
    </w:p>
    <w:p w:rsidR="00E27AE9" w:rsidRPr="00516053" w:rsidRDefault="0021669B" w:rsidP="00516053">
      <w:pPr>
        <w:jc w:val="both"/>
        <w:rPr>
          <w:rFonts w:ascii="Times New Roman" w:hAnsi="Times New Roman" w:cs="Times New Roman"/>
          <w:sz w:val="28"/>
          <w:szCs w:val="28"/>
          <w:lang w:val="tt-RU"/>
        </w:rPr>
      </w:pPr>
      <w:r w:rsidRPr="00516053">
        <w:rPr>
          <w:rFonts w:ascii="Times New Roman" w:hAnsi="Times New Roman" w:cs="Times New Roman"/>
          <w:sz w:val="28"/>
          <w:szCs w:val="28"/>
          <w:lang w:val="tt-RU"/>
        </w:rPr>
        <w:t xml:space="preserve">Язучылар Әхәт Гаффар, РөстәмКутуй, Харрас Әюпның </w:t>
      </w:r>
      <w:r w:rsidR="00E27AE9" w:rsidRPr="00516053">
        <w:rPr>
          <w:rFonts w:ascii="Times New Roman" w:hAnsi="Times New Roman" w:cs="Times New Roman"/>
          <w:sz w:val="28"/>
          <w:szCs w:val="28"/>
          <w:lang w:val="tt-RU"/>
        </w:rPr>
        <w:t xml:space="preserve"> тормыш юлы һәм иҗатына багышланган китаплар да бар. </w:t>
      </w:r>
    </w:p>
    <w:p w:rsidR="00BE765A" w:rsidRPr="00516053" w:rsidRDefault="00C15FD3" w:rsidP="00516053">
      <w:pPr>
        <w:jc w:val="both"/>
        <w:rPr>
          <w:rFonts w:ascii="Times New Roman" w:hAnsi="Times New Roman" w:cs="Times New Roman"/>
          <w:sz w:val="28"/>
          <w:szCs w:val="28"/>
          <w:lang w:val="tt-RU"/>
        </w:rPr>
      </w:pPr>
      <w:r w:rsidRPr="00516053">
        <w:rPr>
          <w:rFonts w:ascii="Times New Roman" w:hAnsi="Times New Roman" w:cs="Times New Roman"/>
          <w:sz w:val="28"/>
          <w:szCs w:val="28"/>
          <w:lang w:val="tt-RU"/>
        </w:rPr>
        <w:t>Айгөл Әхмәтгалиеваның “Таллыкүлдә былбыл бар” , Сәмига Сәүбанованың “Моң”, Нәбирә Гыйматдинованың “Сөйлим, тыңла...”, Рифә Рахманның “Таулар һаман ерак”, Илсөяр Иксанованың “Балан чәчәге” , Нурислам Хәсәновның “Күрәчәк”, Илдар Низамовның “Бөртектән- көшел”, Галимҗан Гыйльмановның “Ходай бүләге”</w:t>
      </w:r>
      <w:r w:rsidR="0021669B" w:rsidRPr="00516053">
        <w:rPr>
          <w:rFonts w:ascii="Times New Roman" w:hAnsi="Times New Roman" w:cs="Times New Roman"/>
          <w:sz w:val="28"/>
          <w:szCs w:val="28"/>
          <w:lang w:val="tt-RU"/>
        </w:rPr>
        <w:t xml:space="preserve"> әсәрләре авыл тормышын, мәхәббәт, әче язмышлар турында яратып укучыларның күңелен кузгатмый калмас.</w:t>
      </w:r>
    </w:p>
    <w:p w:rsidR="00EE3628" w:rsidRPr="00516053" w:rsidRDefault="00C15FD3" w:rsidP="00516053">
      <w:pPr>
        <w:jc w:val="both"/>
        <w:rPr>
          <w:rFonts w:ascii="Times New Roman" w:hAnsi="Times New Roman" w:cs="Times New Roman"/>
          <w:sz w:val="28"/>
          <w:szCs w:val="28"/>
          <w:lang w:val="tt-RU"/>
        </w:rPr>
      </w:pPr>
      <w:r w:rsidRPr="00516053">
        <w:rPr>
          <w:rFonts w:ascii="Times New Roman" w:hAnsi="Times New Roman" w:cs="Times New Roman"/>
          <w:sz w:val="28"/>
          <w:szCs w:val="28"/>
          <w:lang w:val="tt-RU"/>
        </w:rPr>
        <w:t xml:space="preserve">Шигърият яратучы дусларыбыз өчен дә яңа китаплар бик күп. Алабуга шәһәрендә </w:t>
      </w:r>
      <w:r w:rsidR="00151145" w:rsidRPr="00516053">
        <w:rPr>
          <w:rFonts w:ascii="Times New Roman" w:hAnsi="Times New Roman" w:cs="Times New Roman"/>
          <w:sz w:val="28"/>
          <w:szCs w:val="28"/>
          <w:lang w:val="tt-RU"/>
        </w:rPr>
        <w:t>күренекле шәхес</w:t>
      </w:r>
      <w:r w:rsidRPr="00516053">
        <w:rPr>
          <w:rFonts w:ascii="Times New Roman" w:hAnsi="Times New Roman" w:cs="Times New Roman"/>
          <w:sz w:val="28"/>
          <w:szCs w:val="28"/>
          <w:lang w:val="tt-RU"/>
        </w:rPr>
        <w:t>, Татарстан Язучылар берлеге әгъ</w:t>
      </w:r>
      <w:r w:rsidR="00151145" w:rsidRPr="00516053">
        <w:rPr>
          <w:rFonts w:ascii="Times New Roman" w:hAnsi="Times New Roman" w:cs="Times New Roman"/>
          <w:sz w:val="28"/>
          <w:szCs w:val="28"/>
          <w:lang w:val="tt-RU"/>
        </w:rPr>
        <w:t xml:space="preserve">засы </w:t>
      </w:r>
      <w:r w:rsidRPr="00516053">
        <w:rPr>
          <w:rFonts w:ascii="Times New Roman" w:hAnsi="Times New Roman" w:cs="Times New Roman"/>
          <w:sz w:val="28"/>
          <w:szCs w:val="28"/>
          <w:lang w:val="tt-RU"/>
        </w:rPr>
        <w:t>Гөлзада Әхтәмованың “Шөкер итәм”</w:t>
      </w:r>
      <w:r w:rsidR="00151145" w:rsidRPr="00516053">
        <w:rPr>
          <w:rFonts w:ascii="Times New Roman" w:hAnsi="Times New Roman" w:cs="Times New Roman"/>
          <w:sz w:val="28"/>
          <w:szCs w:val="28"/>
          <w:lang w:val="tt-RU"/>
        </w:rPr>
        <w:t xml:space="preserve">  китабында төрле елларда язылган шигырьләре тупланган. Аларда кеше күңеленең матурлыгы, сафлыгы, табигать бе</w:t>
      </w:r>
      <w:r w:rsidR="00EE3628" w:rsidRPr="00516053">
        <w:rPr>
          <w:rFonts w:ascii="Times New Roman" w:hAnsi="Times New Roman" w:cs="Times New Roman"/>
          <w:sz w:val="28"/>
          <w:szCs w:val="28"/>
          <w:lang w:val="tt-RU"/>
        </w:rPr>
        <w:t>лән бердәмлеге хакында сөйләнә.</w:t>
      </w:r>
    </w:p>
    <w:p w:rsidR="0035014E" w:rsidRPr="00516053" w:rsidRDefault="00EE3628" w:rsidP="00516053">
      <w:pPr>
        <w:jc w:val="both"/>
        <w:rPr>
          <w:rFonts w:ascii="Times New Roman" w:hAnsi="Times New Roman" w:cs="Times New Roman"/>
          <w:sz w:val="28"/>
          <w:szCs w:val="28"/>
          <w:lang w:val="tt-RU"/>
        </w:rPr>
      </w:pPr>
      <w:r w:rsidRPr="00516053">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1BF60A11" wp14:editId="48ECF582">
            <wp:simplePos x="0" y="0"/>
            <wp:positionH relativeFrom="column">
              <wp:posOffset>-20955</wp:posOffset>
            </wp:positionH>
            <wp:positionV relativeFrom="paragraph">
              <wp:posOffset>81280</wp:posOffset>
            </wp:positionV>
            <wp:extent cx="3354705" cy="1892300"/>
            <wp:effectExtent l="0" t="0" r="0" b="0"/>
            <wp:wrapTight wrapText="bothSides">
              <wp:wrapPolygon edited="0">
                <wp:start x="0" y="0"/>
                <wp:lineTo x="0" y="21310"/>
                <wp:lineTo x="21465" y="21310"/>
                <wp:lineTo x="21465" y="0"/>
                <wp:lineTo x="0" y="0"/>
              </wp:wrapPolygon>
            </wp:wrapTight>
            <wp:docPr id="3" name="Рисунок 3" descr="C:\Users\2015\Desktop\19.06\DSC04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5\Desktop\19.06\DSC0427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470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14E" w:rsidRPr="00516053">
        <w:rPr>
          <w:rFonts w:ascii="Times New Roman" w:hAnsi="Times New Roman" w:cs="Times New Roman"/>
          <w:sz w:val="28"/>
          <w:szCs w:val="28"/>
          <w:lang w:val="tt-RU"/>
        </w:rPr>
        <w:t xml:space="preserve">Күргәзмәдә шулай ук Флера Гыйззәтуллинаның “Вөҗдан үре – йөрәк түре”, Ринат Мәннанның “Минем яратканнарым”, “Клара Булатованың Гасыр белән гасыр арасында”, Гүзәлия Галләмованың “Җанга газиз җирләр”, “Алсу Шанованың “Әманәт”, Саҗидә Сөләйманованың “Сайланма әсәрләр”, Риф Мифтаховның “Күңел күзләре”, Мөхәммәт Мирзаның “Берүземә бер диңгез” һ.б. күп кенә </w:t>
      </w:r>
      <w:r w:rsidR="009370CF" w:rsidRPr="00516053">
        <w:rPr>
          <w:rFonts w:ascii="Times New Roman" w:hAnsi="Times New Roman" w:cs="Times New Roman"/>
          <w:sz w:val="28"/>
          <w:szCs w:val="28"/>
          <w:lang w:val="tt-RU"/>
        </w:rPr>
        <w:t>шигырь</w:t>
      </w:r>
      <w:r w:rsidR="0035014E" w:rsidRPr="00516053">
        <w:rPr>
          <w:rFonts w:ascii="Times New Roman" w:hAnsi="Times New Roman" w:cs="Times New Roman"/>
          <w:sz w:val="28"/>
          <w:szCs w:val="28"/>
          <w:lang w:val="tt-RU"/>
        </w:rPr>
        <w:t xml:space="preserve"> китаплары урын алган.</w:t>
      </w:r>
    </w:p>
    <w:p w:rsidR="0035014E" w:rsidRPr="00516053" w:rsidRDefault="0035014E" w:rsidP="00516053">
      <w:pPr>
        <w:jc w:val="both"/>
        <w:rPr>
          <w:rFonts w:ascii="Times New Roman" w:hAnsi="Times New Roman" w:cs="Times New Roman"/>
          <w:sz w:val="28"/>
          <w:szCs w:val="28"/>
          <w:lang w:val="tt-RU"/>
        </w:rPr>
      </w:pPr>
      <w:r w:rsidRPr="00516053">
        <w:rPr>
          <w:rFonts w:ascii="Times New Roman" w:hAnsi="Times New Roman" w:cs="Times New Roman"/>
          <w:sz w:val="28"/>
          <w:szCs w:val="28"/>
          <w:lang w:val="tt-RU"/>
        </w:rPr>
        <w:t>Безнең кечкенә китап сөючеләребез Габдулла Тукайның “Эш беткәч уйнарга ярый”, “Әтәч и</w:t>
      </w:r>
      <w:r w:rsidR="00F35796" w:rsidRPr="00516053">
        <w:rPr>
          <w:rFonts w:ascii="Times New Roman" w:hAnsi="Times New Roman" w:cs="Times New Roman"/>
          <w:sz w:val="28"/>
          <w:szCs w:val="28"/>
          <w:lang w:val="tt-RU"/>
        </w:rPr>
        <w:t xml:space="preserve">лә энҗе бөртеге”, “Өч хакыйкать” , Разил Вәлиевнең “Песи төш күргән”, Рәшит Бәшәрнең “Былбыл оясы”, Ләбиб Леронның “Әкиятче малай”, Йолдызның “Аппак белән Шапшак”, Нәҗибә Сафина “Нарат нигә энәле”, Альберт Гаделнең “Фокуслар энциклопедиясе”һәм башка китаплар белән таныша ала. </w:t>
      </w:r>
      <w:r w:rsidR="009370CF" w:rsidRPr="00516053">
        <w:rPr>
          <w:rFonts w:ascii="Times New Roman" w:hAnsi="Times New Roman" w:cs="Times New Roman"/>
          <w:sz w:val="28"/>
          <w:szCs w:val="28"/>
          <w:lang w:val="tt-RU"/>
        </w:rPr>
        <w:t xml:space="preserve"> Хөрмәтле китап укучылар “Китап алып кулга...җәйге ялга” күргәзмәсендә сез үзегезгә ошаган китапны табарсыз дип ышанып калабыз. Китапханәгә рәхим итегез!</w:t>
      </w:r>
    </w:p>
    <w:p w:rsidR="00266086" w:rsidRPr="00516053" w:rsidRDefault="009370CF" w:rsidP="00516053">
      <w:pPr>
        <w:jc w:val="both"/>
        <w:rPr>
          <w:rFonts w:ascii="Times New Roman" w:hAnsi="Times New Roman" w:cs="Times New Roman"/>
          <w:sz w:val="28"/>
          <w:szCs w:val="28"/>
          <w:lang w:val="tt-RU"/>
        </w:rPr>
      </w:pPr>
      <w:r w:rsidRPr="00516053">
        <w:rPr>
          <w:rFonts w:ascii="Times New Roman" w:hAnsi="Times New Roman" w:cs="Times New Roman"/>
          <w:sz w:val="28"/>
          <w:szCs w:val="28"/>
          <w:lang w:val="tt-RU"/>
        </w:rPr>
        <w:t>Раушания Вәлиева</w:t>
      </w:r>
      <w:bookmarkStart w:id="0" w:name="_GoBack"/>
      <w:bookmarkEnd w:id="0"/>
    </w:p>
    <w:sectPr w:rsidR="00266086" w:rsidRPr="00516053" w:rsidSect="00516053">
      <w:pgSz w:w="11906" w:h="16838"/>
      <w:pgMar w:top="709" w:right="566"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B7E" w:rsidRDefault="00791B7E" w:rsidP="00EE3628">
      <w:pPr>
        <w:spacing w:after="0" w:line="240" w:lineRule="auto"/>
      </w:pPr>
      <w:r>
        <w:separator/>
      </w:r>
    </w:p>
  </w:endnote>
  <w:endnote w:type="continuationSeparator" w:id="0">
    <w:p w:rsidR="00791B7E" w:rsidRDefault="00791B7E" w:rsidP="00EE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B7E" w:rsidRDefault="00791B7E" w:rsidP="00EE3628">
      <w:pPr>
        <w:spacing w:after="0" w:line="240" w:lineRule="auto"/>
      </w:pPr>
      <w:r>
        <w:separator/>
      </w:r>
    </w:p>
  </w:footnote>
  <w:footnote w:type="continuationSeparator" w:id="0">
    <w:p w:rsidR="00791B7E" w:rsidRDefault="00791B7E" w:rsidP="00EE36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2F"/>
    <w:rsid w:val="00151145"/>
    <w:rsid w:val="0021669B"/>
    <w:rsid w:val="002457DB"/>
    <w:rsid w:val="00266086"/>
    <w:rsid w:val="0035014E"/>
    <w:rsid w:val="00516053"/>
    <w:rsid w:val="00791B7E"/>
    <w:rsid w:val="008F1143"/>
    <w:rsid w:val="009370CF"/>
    <w:rsid w:val="00BE752F"/>
    <w:rsid w:val="00BE765A"/>
    <w:rsid w:val="00C15FD3"/>
    <w:rsid w:val="00E27AE9"/>
    <w:rsid w:val="00ED340F"/>
    <w:rsid w:val="00ED3B99"/>
    <w:rsid w:val="00EE3628"/>
    <w:rsid w:val="00F35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36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3628"/>
    <w:rPr>
      <w:rFonts w:ascii="Tahoma" w:hAnsi="Tahoma" w:cs="Tahoma"/>
      <w:sz w:val="16"/>
      <w:szCs w:val="16"/>
    </w:rPr>
  </w:style>
  <w:style w:type="paragraph" w:styleId="a5">
    <w:name w:val="header"/>
    <w:basedOn w:val="a"/>
    <w:link w:val="a6"/>
    <w:uiPriority w:val="99"/>
    <w:unhideWhenUsed/>
    <w:rsid w:val="00EE36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3628"/>
  </w:style>
  <w:style w:type="paragraph" w:styleId="a7">
    <w:name w:val="footer"/>
    <w:basedOn w:val="a"/>
    <w:link w:val="a8"/>
    <w:uiPriority w:val="99"/>
    <w:unhideWhenUsed/>
    <w:rsid w:val="00EE36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36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36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3628"/>
    <w:rPr>
      <w:rFonts w:ascii="Tahoma" w:hAnsi="Tahoma" w:cs="Tahoma"/>
      <w:sz w:val="16"/>
      <w:szCs w:val="16"/>
    </w:rPr>
  </w:style>
  <w:style w:type="paragraph" w:styleId="a5">
    <w:name w:val="header"/>
    <w:basedOn w:val="a"/>
    <w:link w:val="a6"/>
    <w:uiPriority w:val="99"/>
    <w:unhideWhenUsed/>
    <w:rsid w:val="00EE362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3628"/>
  </w:style>
  <w:style w:type="paragraph" w:styleId="a7">
    <w:name w:val="footer"/>
    <w:basedOn w:val="a"/>
    <w:link w:val="a8"/>
    <w:uiPriority w:val="99"/>
    <w:unhideWhenUsed/>
    <w:rsid w:val="00EE362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655</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dc:creator>
  <cp:lastModifiedBy>Лиля</cp:lastModifiedBy>
  <cp:revision>8</cp:revision>
  <dcterms:created xsi:type="dcterms:W3CDTF">2017-06-19T08:04:00Z</dcterms:created>
  <dcterms:modified xsi:type="dcterms:W3CDTF">2017-06-19T12:47:00Z</dcterms:modified>
</cp:coreProperties>
</file>